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4899"/>
        <w:gridCol w:w="4077"/>
      </w:tblGrid>
      <w:tr w:rsidR="00D07D01" w:rsidRPr="009C3D5A" w:rsidTr="00820484">
        <w:trPr>
          <w:trHeight w:val="915"/>
        </w:trPr>
        <w:tc>
          <w:tcPr>
            <w:tcW w:w="5644" w:type="dxa"/>
            <w:vAlign w:val="center"/>
          </w:tcPr>
          <w:p w:rsidR="00D07D01" w:rsidRPr="009C3D5A" w:rsidRDefault="00E34DEB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2017</w:t>
            </w:r>
            <w:r w:rsidR="007C538F">
              <w:rPr>
                <w:rFonts w:asciiTheme="majorHAnsi" w:eastAsiaTheme="majorEastAsia" w:hAnsiTheme="majorHAnsi" w:cstheme="majorBidi"/>
                <w:sz w:val="36"/>
                <w:szCs w:val="36"/>
              </w:rPr>
              <w:t>E</w:t>
            </w:r>
            <w:r w:rsidR="002349EC">
              <w:rPr>
                <w:rFonts w:asciiTheme="majorHAnsi" w:eastAsiaTheme="majorEastAsia" w:hAnsiTheme="majorHAnsi" w:cstheme="majorBidi"/>
                <w:sz w:val="36"/>
                <w:szCs w:val="36"/>
              </w:rPr>
              <w:t>KİM</w:t>
            </w:r>
          </w:p>
          <w:p w:rsidR="00D07D01" w:rsidRPr="009C3D5A" w:rsidRDefault="00D07D01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>DIŞ TİCARET BÜLTENİ</w:t>
            </w:r>
          </w:p>
        </w:tc>
        <w:tc>
          <w:tcPr>
            <w:tcW w:w="4678" w:type="dxa"/>
          </w:tcPr>
          <w:p w:rsidR="00D07D01" w:rsidRPr="009C3D5A" w:rsidRDefault="002349EC" w:rsidP="002349EC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30Kasım</w:t>
            </w:r>
            <w:r w:rsidR="009C3D5A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1F5C2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D07D01" w:rsidRPr="009C3D5A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D01" w:rsidRPr="009C3D5A" w:rsidRDefault="00D07D01" w:rsidP="00D07D01">
      <w:pPr>
        <w:pStyle w:val="stbilgi"/>
      </w:pPr>
    </w:p>
    <w:p w:rsidR="00D07D01" w:rsidRPr="009C3D5A" w:rsidRDefault="002349EC" w:rsidP="008B246F">
      <w:pPr>
        <w:jc w:val="both"/>
        <w:rPr>
          <w:b/>
        </w:rPr>
      </w:pPr>
      <w:r>
        <w:rPr>
          <w:b/>
        </w:rPr>
        <w:t>Ekim</w:t>
      </w:r>
      <w:r w:rsidR="00D07D01" w:rsidRPr="009C3D5A">
        <w:rPr>
          <w:b/>
        </w:rPr>
        <w:t xml:space="preserve"> 201</w:t>
      </w:r>
      <w:r w:rsidR="00676E49">
        <w:rPr>
          <w:b/>
        </w:rPr>
        <w:t>7</w:t>
      </w:r>
      <w:r w:rsidR="00D07D01" w:rsidRPr="009C3D5A">
        <w:rPr>
          <w:b/>
        </w:rPr>
        <w:t xml:space="preserve"> Dış ticaret istatistiklerine ilişkin veriler Türkiye İstati</w:t>
      </w:r>
      <w:r>
        <w:rPr>
          <w:b/>
        </w:rPr>
        <w:t>stik Kurumu (TÜİK) tarafından 30</w:t>
      </w:r>
      <w:r w:rsidR="0019086A">
        <w:rPr>
          <w:b/>
        </w:rPr>
        <w:t>Kasım</w:t>
      </w:r>
      <w:r w:rsidR="00D07D01" w:rsidRPr="009C3D5A">
        <w:rPr>
          <w:b/>
        </w:rPr>
        <w:t xml:space="preserve"> 201</w:t>
      </w:r>
      <w:r w:rsidR="00676E49">
        <w:rPr>
          <w:b/>
        </w:rPr>
        <w:t>7</w:t>
      </w:r>
      <w:r w:rsidR="00D07D01" w:rsidRPr="009C3D5A">
        <w:rPr>
          <w:b/>
        </w:rPr>
        <w:t xml:space="preserve"> tarihinde yayımlandı.</w:t>
      </w:r>
    </w:p>
    <w:p w:rsidR="00F43AC2" w:rsidRPr="009C3D5A" w:rsidRDefault="00F43AC2" w:rsidP="008B246F">
      <w:pPr>
        <w:jc w:val="both"/>
      </w:pPr>
      <w:r w:rsidRPr="009C3D5A">
        <w:t>TÜİK</w:t>
      </w:r>
      <w:r w:rsidR="004D49AB">
        <w:t>,</w:t>
      </w:r>
      <w:r w:rsidR="00134344" w:rsidRPr="009C3D5A">
        <w:t xml:space="preserve">Gümrük ve Ticaret Bakanlığı işbirliği ile hazırladığı dış ticaret verilerini aylık olarak yayınlamaktadır. </w:t>
      </w:r>
    </w:p>
    <w:p w:rsidR="00764636" w:rsidRPr="009C3D5A" w:rsidRDefault="002349EC" w:rsidP="008B246F">
      <w:pPr>
        <w:jc w:val="both"/>
      </w:pPr>
      <w:r>
        <w:t>Ekim</w:t>
      </w:r>
      <w:r w:rsidR="00764636" w:rsidRPr="009C3D5A">
        <w:t xml:space="preserve"> ayında Türkiye’nin </w:t>
      </w:r>
      <w:r w:rsidR="00672626" w:rsidRPr="009C3D5A">
        <w:t>ihracatı</w:t>
      </w:r>
      <w:r w:rsidR="007C538F">
        <w:t>,</w:t>
      </w:r>
      <w:r w:rsidR="00764636" w:rsidRPr="009C3D5A">
        <w:t>bir önceki yılın aynı ayına göre yü</w:t>
      </w:r>
      <w:r w:rsidR="00DB20D7">
        <w:t xml:space="preserve">zde </w:t>
      </w:r>
      <w:r>
        <w:t>9 artarak 13</w:t>
      </w:r>
      <w:r w:rsidR="00764636" w:rsidRPr="009C3D5A">
        <w:t xml:space="preserve"> milyar</w:t>
      </w:r>
      <w:r>
        <w:t>942</w:t>
      </w:r>
      <w:r w:rsidR="00676E49">
        <w:t xml:space="preserve"> milyon</w:t>
      </w:r>
      <w:r w:rsidR="00207511">
        <w:t xml:space="preserve"> dolar oldu</w:t>
      </w:r>
      <w:r w:rsidR="00764636" w:rsidRPr="009C3D5A">
        <w:t xml:space="preserve">. </w:t>
      </w:r>
      <w:r w:rsidR="00047A3E">
        <w:t>E</w:t>
      </w:r>
      <w:r>
        <w:t>kim</w:t>
      </w:r>
      <w:r w:rsidR="002157EE" w:rsidRPr="009C3D5A">
        <w:t xml:space="preserve"> ayı </w:t>
      </w:r>
      <w:r w:rsidR="000E09A3">
        <w:t>ithalatı</w:t>
      </w:r>
      <w:r w:rsidR="00BC0061">
        <w:t>,</w:t>
      </w:r>
      <w:r w:rsidR="00DB20D7">
        <w:t xml:space="preserve"> bir önceki </w:t>
      </w:r>
      <w:r w:rsidR="000E09A3">
        <w:t>yılın aynı ayına</w:t>
      </w:r>
      <w:r w:rsidR="00DB20D7">
        <w:t xml:space="preserve"> göre</w:t>
      </w:r>
      <w:r w:rsidR="002157EE" w:rsidRPr="009C3D5A">
        <w:t xml:space="preserve"> yüzde </w:t>
      </w:r>
      <w:r>
        <w:t>25</w:t>
      </w:r>
      <w:r w:rsidR="005C02CC">
        <w:t xml:space="preserve"> artarak </w:t>
      </w:r>
      <w:r>
        <w:t>21</w:t>
      </w:r>
      <w:r w:rsidR="00DB20D7">
        <w:t xml:space="preserve"> milyar</w:t>
      </w:r>
      <w:r>
        <w:t>267</w:t>
      </w:r>
      <w:r w:rsidR="00676E49">
        <w:t xml:space="preserve"> milyon</w:t>
      </w:r>
      <w:r w:rsidR="00DB20D7">
        <w:t xml:space="preserve"> dolar </w:t>
      </w:r>
      <w:r w:rsidR="00207511">
        <w:t>olarak gerçekleşti</w:t>
      </w:r>
      <w:r w:rsidR="002157EE" w:rsidRPr="009C3D5A">
        <w:t>.</w:t>
      </w:r>
      <w:r w:rsidR="000E09A3">
        <w:t xml:space="preserve">Buna göre </w:t>
      </w:r>
      <w:r w:rsidR="0019086A">
        <w:t>Ekim</w:t>
      </w:r>
      <w:r w:rsidR="00DB20D7">
        <w:t xml:space="preserve"> ayı dış ticaret açığı,</w:t>
      </w:r>
      <w:r w:rsidR="008B246F" w:rsidRPr="009C3D5A">
        <w:t xml:space="preserve"> yüzde </w:t>
      </w:r>
      <w:r>
        <w:t>73,9</w:t>
      </w:r>
      <w:r w:rsidR="00676E49">
        <w:t>arta</w:t>
      </w:r>
      <w:r w:rsidR="00DB20D7">
        <w:t>rak</w:t>
      </w:r>
      <w:r>
        <w:t>7</w:t>
      </w:r>
      <w:r w:rsidR="00024E59" w:rsidRPr="009C3D5A">
        <w:t xml:space="preserve"> milyar </w:t>
      </w:r>
      <w:r>
        <w:t>324</w:t>
      </w:r>
      <w:r w:rsidR="00DB20D7">
        <w:t xml:space="preserve"> milyon dolar</w:t>
      </w:r>
      <w:r w:rsidR="00676E49">
        <w:t xml:space="preserve">a yükseldi. </w:t>
      </w:r>
      <w:r w:rsidR="00EB5E5C">
        <w:t xml:space="preserve">2016 </w:t>
      </w:r>
      <w:r>
        <w:t>Ekim ayında yüzde 75,2</w:t>
      </w:r>
      <w:r w:rsidR="0023568E">
        <w:t>olan ihracatın itha</w:t>
      </w:r>
      <w:r w:rsidR="00EB5E5C">
        <w:t xml:space="preserve">latı karşılama oranı ise 2017 </w:t>
      </w:r>
      <w:r w:rsidR="00047A3E">
        <w:t>E</w:t>
      </w:r>
      <w:r>
        <w:t>kim</w:t>
      </w:r>
      <w:r w:rsidR="00047A3E">
        <w:t xml:space="preserve"> ayında yüzde </w:t>
      </w:r>
      <w:r>
        <w:t>65,6’ya</w:t>
      </w:r>
      <w:r w:rsidR="00EB5E5C">
        <w:t>düştü</w:t>
      </w:r>
      <w:r w:rsidR="0023568E">
        <w:t>.</w:t>
      </w:r>
    </w:p>
    <w:p w:rsidR="00E20164" w:rsidRPr="009C3D5A" w:rsidRDefault="00F43AC2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Aylara göre </w:t>
      </w:r>
      <w:r w:rsidR="00B861B5">
        <w:rPr>
          <w:rFonts w:eastAsia="Times New Roman" w:cs="Times New Roman"/>
          <w:b/>
          <w:bCs/>
          <w:kern w:val="36"/>
          <w:sz w:val="24"/>
          <w:szCs w:val="24"/>
        </w:rPr>
        <w:t>ihracat, milyar</w:t>
      </w:r>
      <w:r w:rsidR="005D6CB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047A3E">
        <w:rPr>
          <w:rFonts w:eastAsia="Times New Roman" w:cs="Times New Roman"/>
          <w:b/>
          <w:bCs/>
          <w:kern w:val="36"/>
          <w:sz w:val="24"/>
          <w:szCs w:val="24"/>
        </w:rPr>
        <w:t xml:space="preserve"> (2016-2017 Ocak-E</w:t>
      </w:r>
      <w:r w:rsidR="000C0786">
        <w:rPr>
          <w:rFonts w:eastAsia="Times New Roman" w:cs="Times New Roman"/>
          <w:b/>
          <w:bCs/>
          <w:kern w:val="36"/>
          <w:sz w:val="24"/>
          <w:szCs w:val="24"/>
        </w:rPr>
        <w:t>kim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BB3701" w:rsidRPr="009C3D5A" w:rsidRDefault="000C0786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5867400" cy="15430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2888" w:rsidRPr="008D17ED" w:rsidRDefault="005D6CB6" w:rsidP="00A62888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A62888" w:rsidRPr="009C3D5A" w:rsidRDefault="00A62888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867C7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2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: Aylara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ithalat, milyar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0174DC">
        <w:rPr>
          <w:rFonts w:eastAsia="Times New Roman" w:cs="Times New Roman"/>
          <w:b/>
          <w:bCs/>
          <w:kern w:val="36"/>
          <w:sz w:val="24"/>
          <w:szCs w:val="24"/>
        </w:rPr>
        <w:t xml:space="preserve"> (2016-2017 Ocak-</w:t>
      </w:r>
      <w:r w:rsidR="00047A3E">
        <w:rPr>
          <w:rFonts w:eastAsia="Times New Roman" w:cs="Times New Roman"/>
          <w:b/>
          <w:bCs/>
          <w:kern w:val="36"/>
          <w:sz w:val="24"/>
          <w:szCs w:val="24"/>
        </w:rPr>
        <w:t>E</w:t>
      </w:r>
      <w:r w:rsidR="000C0786">
        <w:rPr>
          <w:rFonts w:eastAsia="Times New Roman" w:cs="Times New Roman"/>
          <w:b/>
          <w:bCs/>
          <w:kern w:val="36"/>
          <w:sz w:val="24"/>
          <w:szCs w:val="24"/>
        </w:rPr>
        <w:t>kim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A01B59" w:rsidRDefault="000C0786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5924550" cy="1495425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359A" w:rsidRDefault="00DB359A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511" w:rsidRPr="008D17ED" w:rsidRDefault="00207511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</w:p>
    <w:p w:rsidR="00501781" w:rsidRPr="00E86C2E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4"/>
          <w:szCs w:val="24"/>
        </w:rPr>
      </w:pPr>
      <w:r w:rsidRPr="00E86C2E">
        <w:t>İhracat rakamları 2017 içer</w:t>
      </w:r>
      <w:r w:rsidR="008D17ED">
        <w:t>isinde dalgalı bir seyir izle</w:t>
      </w:r>
      <w:r w:rsidR="00E0516C">
        <w:t>mektedir.</w:t>
      </w:r>
      <w:r>
        <w:t xml:space="preserve"> Bir önceki aya göre </w:t>
      </w:r>
      <w:r w:rsidR="00E0516C">
        <w:t>yüzde</w:t>
      </w:r>
      <w:r w:rsidR="000C0786">
        <w:t>17,9artış</w:t>
      </w:r>
      <w:r>
        <w:t>; bir önceki yı</w:t>
      </w:r>
      <w:r w:rsidR="00E0516C">
        <w:t>lın aynı ayına göre ise yüzde</w:t>
      </w:r>
      <w:r w:rsidR="000C0786">
        <w:t xml:space="preserve"> 9</w:t>
      </w:r>
      <w:r w:rsidR="00BC0061">
        <w:t xml:space="preserve"> artış</w:t>
      </w:r>
      <w:r>
        <w:t xml:space="preserve"> gösteren ihracat</w:t>
      </w:r>
      <w:r w:rsidR="008D17ED">
        <w:t>,</w:t>
      </w:r>
      <w:r w:rsidR="000174DC">
        <w:t xml:space="preserve"> 2017 </w:t>
      </w:r>
      <w:r w:rsidR="000C0786">
        <w:t>Ekim</w:t>
      </w:r>
      <w:r w:rsidR="000174DC">
        <w:t xml:space="preserve"> ayında </w:t>
      </w:r>
      <w:r w:rsidR="000C0786">
        <w:t>13,9</w:t>
      </w:r>
      <w:r w:rsidR="00E0516C">
        <w:t xml:space="preserve"> milyar dolar</w:t>
      </w:r>
      <w:r w:rsidR="00207511">
        <w:t xml:space="preserve"> olarak gerçekleş</w:t>
      </w:r>
      <w:r w:rsidR="00E0516C">
        <w:t>ti.</w:t>
      </w:r>
      <w:r w:rsidR="00DB359A" w:rsidRPr="00E86C2E">
        <w:t>2017</w:t>
      </w:r>
      <w:r w:rsidR="00DB359A">
        <w:t xml:space="preserve"> yılına düş</w:t>
      </w:r>
      <w:r>
        <w:t>üşle başlayan ithalat rakamları ise</w:t>
      </w:r>
      <w:r w:rsidR="00DB359A">
        <w:t xml:space="preserve"> yıl içinde</w:t>
      </w:r>
      <w:r w:rsidR="00EC602A">
        <w:t>ki</w:t>
      </w:r>
      <w:r>
        <w:t>yükseliş</w:t>
      </w:r>
      <w:r w:rsidR="00EC602A">
        <w:t>ini</w:t>
      </w:r>
      <w:r w:rsidR="00CB030C">
        <w:t>E</w:t>
      </w:r>
      <w:r w:rsidR="000C0786">
        <w:t>kim</w:t>
      </w:r>
      <w:r w:rsidR="00DB359A">
        <w:t xml:space="preserve"> ayında </w:t>
      </w:r>
      <w:r w:rsidR="00EC602A">
        <w:t>da sürdürmüştür.</w:t>
      </w:r>
      <w:r w:rsidR="00DB359A">
        <w:t xml:space="preserve"> 2017</w:t>
      </w:r>
      <w:r w:rsidR="00A17326">
        <w:t>Eylül</w:t>
      </w:r>
      <w:r w:rsidR="000174DC">
        <w:t xml:space="preserve">ayında </w:t>
      </w:r>
      <w:r w:rsidR="00EC602A">
        <w:t>2</w:t>
      </w:r>
      <w:r w:rsidR="00A17326">
        <w:t>0</w:t>
      </w:r>
      <w:r w:rsidR="00DB359A" w:rsidRPr="009C3D5A">
        <w:t xml:space="preserve"> milyar dolar olan ithalat</w:t>
      </w:r>
      <w:r w:rsidR="00DB359A">
        <w:t>,</w:t>
      </w:r>
      <w:r w:rsidR="00DB359A" w:rsidRPr="009C3D5A">
        <w:t xml:space="preserve"> yüz</w:t>
      </w:r>
      <w:r w:rsidR="00E0516C">
        <w:t xml:space="preserve">de </w:t>
      </w:r>
      <w:r w:rsidR="00A17326">
        <w:t>6,5</w:t>
      </w:r>
      <w:r w:rsidR="00EC602A">
        <w:t xml:space="preserve"> artış ileE</w:t>
      </w:r>
      <w:r w:rsidR="00A17326">
        <w:t>kim</w:t>
      </w:r>
      <w:r w:rsidR="000174DC">
        <w:t xml:space="preserve"> ayında </w:t>
      </w:r>
      <w:r w:rsidR="00A17326">
        <w:t>21,3</w:t>
      </w:r>
      <w:r w:rsidR="00DB359A" w:rsidRPr="009C3D5A">
        <w:t xml:space="preserve">milyar dolara </w:t>
      </w:r>
      <w:r w:rsidR="00EC602A">
        <w:t>ulaşmıştır</w:t>
      </w:r>
      <w:r w:rsidR="00DB359A" w:rsidRPr="009C3D5A">
        <w:t xml:space="preserve">. </w:t>
      </w:r>
      <w:r w:rsidR="00EC602A">
        <w:t xml:space="preserve">Aynı şekilde, </w:t>
      </w:r>
      <w:r w:rsidR="00DB359A">
        <w:t>2016</w:t>
      </w:r>
      <w:r w:rsidR="00EC602A">
        <w:t>E</w:t>
      </w:r>
      <w:r w:rsidR="00A17326">
        <w:t>kim</w:t>
      </w:r>
      <w:r w:rsidR="00E0516C">
        <w:t xml:space="preserve"> a</w:t>
      </w:r>
      <w:r w:rsidR="000174DC">
        <w:t xml:space="preserve">yında </w:t>
      </w:r>
      <w:r w:rsidR="00A17326">
        <w:t>17</w:t>
      </w:r>
      <w:r w:rsidR="00DB359A" w:rsidRPr="009C3D5A">
        <w:t xml:space="preserve"> milyar dolar olan ithalat rakamı yüzde </w:t>
      </w:r>
      <w:r w:rsidR="00A17326">
        <w:t>25</w:t>
      </w:r>
      <w:r w:rsidR="00DB359A">
        <w:t xml:space="preserve"> arta</w:t>
      </w:r>
      <w:r w:rsidR="00DB359A" w:rsidRPr="009C3D5A">
        <w:t xml:space="preserve">rak </w:t>
      </w:r>
      <w:r w:rsidR="00A17326">
        <w:t>21,3</w:t>
      </w:r>
      <w:r w:rsidR="00207511">
        <w:t xml:space="preserve"> milyar dolara yükseldi</w:t>
      </w:r>
      <w:r w:rsidR="00DB359A" w:rsidRPr="009C3D5A">
        <w:t xml:space="preserve">. </w:t>
      </w:r>
    </w:p>
    <w:p w:rsidR="00501781" w:rsidRDefault="0050178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C6508C" w:rsidRDefault="00C6508C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F53242" w:rsidRDefault="00F53242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DA7CF5" w:rsidRDefault="00DA7CF5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501781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>Şekil 3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:Ülkelere göre</w:t>
      </w:r>
      <w:r w:rsidR="00B01160">
        <w:rPr>
          <w:rFonts w:eastAsia="Times New Roman" w:cs="Times New Roman"/>
          <w:b/>
          <w:bCs/>
          <w:kern w:val="36"/>
          <w:sz w:val="24"/>
          <w:szCs w:val="24"/>
        </w:rPr>
        <w:t xml:space="preserve"> dış ticaret, $  (2017 </w:t>
      </w:r>
      <w:r w:rsidR="00DA7CF5">
        <w:rPr>
          <w:rFonts w:eastAsia="Times New Roman" w:cs="Times New Roman"/>
          <w:b/>
          <w:bCs/>
          <w:kern w:val="36"/>
          <w:sz w:val="24"/>
          <w:szCs w:val="24"/>
        </w:rPr>
        <w:t>Ekim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39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9"/>
        <w:gridCol w:w="1108"/>
        <w:gridCol w:w="2257"/>
      </w:tblGrid>
      <w:tr w:rsidR="00DA7CF5" w:rsidRPr="00DA7CF5" w:rsidTr="00DA7CF5">
        <w:trPr>
          <w:trHeight w:val="170"/>
        </w:trPr>
        <w:tc>
          <w:tcPr>
            <w:tcW w:w="6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Sıra</w:t>
            </w:r>
          </w:p>
        </w:tc>
        <w:tc>
          <w:tcPr>
            <w:tcW w:w="110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Ülke adı</w:t>
            </w:r>
          </w:p>
        </w:tc>
        <w:tc>
          <w:tcPr>
            <w:tcW w:w="225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İhracat</w:t>
            </w:r>
          </w:p>
        </w:tc>
      </w:tr>
      <w:tr w:rsidR="00DA7CF5" w:rsidRPr="00DA7CF5" w:rsidTr="00DA7CF5">
        <w:trPr>
          <w:trHeight w:val="170"/>
        </w:trPr>
        <w:tc>
          <w:tcPr>
            <w:tcW w:w="61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Almanya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1.454.801.155   </w:t>
            </w:r>
          </w:p>
        </w:tc>
      </w:tr>
      <w:tr w:rsidR="00DA7CF5" w:rsidRPr="00DA7CF5" w:rsidTr="00DA7CF5">
        <w:trPr>
          <w:trHeight w:val="170"/>
        </w:trPr>
        <w:tc>
          <w:tcPr>
            <w:tcW w:w="61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İngiltere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889.796.032   </w:t>
            </w:r>
          </w:p>
        </w:tc>
      </w:tr>
      <w:tr w:rsidR="00DA7CF5" w:rsidRPr="00DA7CF5" w:rsidTr="00DA7CF5">
        <w:trPr>
          <w:trHeight w:val="170"/>
        </w:trPr>
        <w:tc>
          <w:tcPr>
            <w:tcW w:w="61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770.707.131   </w:t>
            </w:r>
          </w:p>
        </w:tc>
      </w:tr>
      <w:tr w:rsidR="00DA7CF5" w:rsidRPr="00DA7CF5" w:rsidTr="00DA7CF5">
        <w:trPr>
          <w:trHeight w:val="170"/>
        </w:trPr>
        <w:tc>
          <w:tcPr>
            <w:tcW w:w="61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İtalya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746.112.659   </w:t>
            </w:r>
          </w:p>
        </w:tc>
      </w:tr>
      <w:tr w:rsidR="00DA7CF5" w:rsidRPr="00DA7CF5" w:rsidTr="00DA7CF5">
        <w:trPr>
          <w:trHeight w:val="170"/>
        </w:trPr>
        <w:tc>
          <w:tcPr>
            <w:tcW w:w="61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Irak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650.969.245   </w:t>
            </w:r>
          </w:p>
        </w:tc>
      </w:tr>
      <w:tr w:rsidR="00DA7CF5" w:rsidRPr="00DA7CF5" w:rsidTr="00DA7CF5">
        <w:trPr>
          <w:trHeight w:val="170"/>
        </w:trPr>
        <w:tc>
          <w:tcPr>
            <w:tcW w:w="61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Fransa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620.827.344   </w:t>
            </w:r>
          </w:p>
        </w:tc>
      </w:tr>
      <w:tr w:rsidR="00DA7CF5" w:rsidRPr="00DA7CF5" w:rsidTr="00DA7CF5">
        <w:trPr>
          <w:trHeight w:val="170"/>
        </w:trPr>
        <w:tc>
          <w:tcPr>
            <w:tcW w:w="61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İspanya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579.905.905   </w:t>
            </w:r>
          </w:p>
        </w:tc>
      </w:tr>
      <w:tr w:rsidR="00DA7CF5" w:rsidRPr="00DA7CF5" w:rsidTr="00DA7CF5">
        <w:trPr>
          <w:trHeight w:val="170"/>
        </w:trPr>
        <w:tc>
          <w:tcPr>
            <w:tcW w:w="61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515.377.953   </w:t>
            </w:r>
          </w:p>
        </w:tc>
      </w:tr>
      <w:tr w:rsidR="00DA7CF5" w:rsidRPr="00DA7CF5" w:rsidTr="00DA7CF5">
        <w:trPr>
          <w:trHeight w:val="170"/>
        </w:trPr>
        <w:tc>
          <w:tcPr>
            <w:tcW w:w="61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Hollanda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368.145.314   </w:t>
            </w:r>
          </w:p>
        </w:tc>
      </w:tr>
      <w:tr w:rsidR="00DA7CF5" w:rsidRPr="00DA7CF5" w:rsidTr="00DA7CF5">
        <w:trPr>
          <w:trHeight w:val="170"/>
        </w:trPr>
        <w:tc>
          <w:tcPr>
            <w:tcW w:w="61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Romanya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DA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332.342.940   </w:t>
            </w:r>
          </w:p>
        </w:tc>
      </w:tr>
    </w:tbl>
    <w:tbl>
      <w:tblPr>
        <w:tblpPr w:leftFromText="141" w:rightFromText="141" w:vertAnchor="text" w:horzAnchor="page" w:tblpX="5631" w:tblpY="-2788"/>
        <w:tblW w:w="3984" w:type="dxa"/>
        <w:tblCellMar>
          <w:left w:w="70" w:type="dxa"/>
          <w:right w:w="70" w:type="dxa"/>
        </w:tblCellMar>
        <w:tblLook w:val="04A0"/>
      </w:tblPr>
      <w:tblGrid>
        <w:gridCol w:w="582"/>
        <w:gridCol w:w="1134"/>
        <w:gridCol w:w="2268"/>
      </w:tblGrid>
      <w:tr w:rsidR="00DA7CF5" w:rsidRPr="00801235" w:rsidTr="00801235">
        <w:trPr>
          <w:trHeight w:val="3"/>
        </w:trPr>
        <w:tc>
          <w:tcPr>
            <w:tcW w:w="5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Sıra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Ülke adı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İthalat</w:t>
            </w:r>
          </w:p>
        </w:tc>
      </w:tr>
      <w:tr w:rsidR="00DA7CF5" w:rsidRPr="00801235" w:rsidTr="00801235">
        <w:trPr>
          <w:trHeight w:val="3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Çin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2.112.834.255   </w:t>
            </w:r>
          </w:p>
        </w:tc>
      </w:tr>
      <w:tr w:rsidR="00DA7CF5" w:rsidRPr="00801235" w:rsidTr="00801235">
        <w:trPr>
          <w:trHeight w:val="3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Almanya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2.033.362.303   </w:t>
            </w:r>
          </w:p>
        </w:tc>
      </w:tr>
      <w:tr w:rsidR="00DA7CF5" w:rsidRPr="00801235" w:rsidTr="00801235">
        <w:trPr>
          <w:trHeight w:val="3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Rusya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1.793.010.411   </w:t>
            </w:r>
          </w:p>
        </w:tc>
      </w:tr>
      <w:tr w:rsidR="00DA7CF5" w:rsidRPr="00801235" w:rsidTr="00801235">
        <w:trPr>
          <w:trHeight w:val="3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İtalya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1.078.598.551   </w:t>
            </w:r>
          </w:p>
        </w:tc>
      </w:tr>
      <w:tr w:rsidR="00DA7CF5" w:rsidRPr="00801235" w:rsidTr="00801235">
        <w:trPr>
          <w:trHeight w:val="3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878.063.153   </w:t>
            </w:r>
          </w:p>
        </w:tc>
      </w:tr>
      <w:tr w:rsidR="00DA7CF5" w:rsidRPr="00801235" w:rsidTr="00801235">
        <w:trPr>
          <w:trHeight w:val="3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Fransa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840.506.876   </w:t>
            </w:r>
          </w:p>
        </w:tc>
      </w:tr>
      <w:tr w:rsidR="00DA7CF5" w:rsidRPr="00801235" w:rsidTr="00801235">
        <w:trPr>
          <w:trHeight w:val="3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G.</w:t>
            </w: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764.944.998   </w:t>
            </w:r>
          </w:p>
        </w:tc>
      </w:tr>
      <w:tr w:rsidR="00DA7CF5" w:rsidRPr="00801235" w:rsidTr="00801235">
        <w:trPr>
          <w:trHeight w:val="3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İran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762.985.999   </w:t>
            </w:r>
          </w:p>
        </w:tc>
      </w:tr>
      <w:tr w:rsidR="00DA7CF5" w:rsidRPr="00801235" w:rsidTr="00801235">
        <w:trPr>
          <w:trHeight w:val="3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İspanya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655.732.447   </w:t>
            </w:r>
          </w:p>
        </w:tc>
      </w:tr>
      <w:tr w:rsidR="00DA7CF5" w:rsidRPr="00801235" w:rsidTr="00801235">
        <w:trPr>
          <w:trHeight w:val="70"/>
        </w:trPr>
        <w:tc>
          <w:tcPr>
            <w:tcW w:w="58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Hindistan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CF5" w:rsidRPr="00DA7CF5" w:rsidRDefault="00DA7CF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7C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633.147.524   </w:t>
            </w:r>
          </w:p>
        </w:tc>
      </w:tr>
    </w:tbl>
    <w:p w:rsidR="00501781" w:rsidRPr="00207D30" w:rsidRDefault="00CE7503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  <w:bookmarkStart w:id="0" w:name="_GoBack"/>
      <w:bookmarkEnd w:id="0"/>
    </w:p>
    <w:p w:rsidR="0060716F" w:rsidRPr="009C3D5A" w:rsidRDefault="0060716F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D074EA" w:rsidRDefault="008D17ED" w:rsidP="00E27E57">
      <w:pPr>
        <w:jc w:val="both"/>
      </w:pPr>
      <w:r>
        <w:t xml:space="preserve">Türkiye, </w:t>
      </w:r>
      <w:r w:rsidR="00CC376F" w:rsidRPr="009C3D5A">
        <w:t>201</w:t>
      </w:r>
      <w:r w:rsidR="006006DA">
        <w:t>7</w:t>
      </w:r>
      <w:r w:rsidR="00F53242">
        <w:t>E</w:t>
      </w:r>
      <w:r w:rsidR="00DA7CF5">
        <w:t>kim</w:t>
      </w:r>
      <w:r>
        <w:t xml:space="preserve"> ayında</w:t>
      </w:r>
      <w:r w:rsidR="00955246" w:rsidRPr="009C3D5A">
        <w:t xml:space="preserve"> en fazla ihracatı</w:t>
      </w:r>
      <w:r w:rsidR="00501781">
        <w:t xml:space="preserve"> Almanya’ya yapmıştır. 1</w:t>
      </w:r>
      <w:r w:rsidR="00DA7CF5">
        <w:t>,45</w:t>
      </w:r>
      <w:r w:rsidR="00CC376F" w:rsidRPr="009C3D5A">
        <w:t xml:space="preserve"> milyar dolarlık ihracat</w:t>
      </w:r>
      <w:r w:rsidR="00955246" w:rsidRPr="009C3D5A">
        <w:t xml:space="preserve"> ile </w:t>
      </w:r>
      <w:r w:rsidR="00CC376F" w:rsidRPr="009C3D5A">
        <w:t>Almanya</w:t>
      </w:r>
      <w:r w:rsidR="00955246" w:rsidRPr="009C3D5A">
        <w:t xml:space="preserve"> birinci sırada yer alırken</w:t>
      </w:r>
      <w:r w:rsidR="006D5432" w:rsidRPr="009C3D5A">
        <w:t xml:space="preserve"> Almanya’yı</w:t>
      </w:r>
      <w:r w:rsidR="00955246" w:rsidRPr="009C3D5A">
        <w:t xml:space="preserve"> sırası ile</w:t>
      </w:r>
      <w:r w:rsidR="00DA7CF5">
        <w:t>899,8</w:t>
      </w:r>
      <w:r w:rsidR="00E50701">
        <w:t>milyon</w:t>
      </w:r>
      <w:r w:rsidR="006E7CD2" w:rsidRPr="009C3D5A">
        <w:t xml:space="preserve"> dolar ile</w:t>
      </w:r>
      <w:r w:rsidR="00F53242">
        <w:t>İngiltere</w:t>
      </w:r>
      <w:r w:rsidR="00955246" w:rsidRPr="009C3D5A">
        <w:t xml:space="preserve">, </w:t>
      </w:r>
      <w:r w:rsidR="00DA7CF5">
        <w:t>770,7</w:t>
      </w:r>
      <w:r w:rsidR="00501781">
        <w:t>milyon</w:t>
      </w:r>
      <w:r w:rsidR="006E7CD2" w:rsidRPr="009C3D5A">
        <w:t xml:space="preserve"> dolar ile </w:t>
      </w:r>
      <w:r w:rsidR="00F53242">
        <w:t>ABD</w:t>
      </w:r>
      <w:r w:rsidR="00955246" w:rsidRPr="009C3D5A">
        <w:t xml:space="preserve"> ve</w:t>
      </w:r>
      <w:r w:rsidR="00DA7CF5">
        <w:t>746,1</w:t>
      </w:r>
      <w:r w:rsidR="00501781">
        <w:t xml:space="preserve"> milyon</w:t>
      </w:r>
      <w:r w:rsidR="006E7CD2" w:rsidRPr="009C3D5A">
        <w:t xml:space="preserve"> dolar ile</w:t>
      </w:r>
      <w:r w:rsidR="00DA7CF5">
        <w:t>İtalya</w:t>
      </w:r>
      <w:r w:rsidR="00955246" w:rsidRPr="009C3D5A">
        <w:t>takip etmektedir. İth</w:t>
      </w:r>
      <w:r w:rsidR="006006DA">
        <w:t>alatta ise Çin lider konumdadır.</w:t>
      </w:r>
      <w:r w:rsidR="00B01160">
        <w:t xml:space="preserve"> Türkiye’nin 2017</w:t>
      </w:r>
      <w:r w:rsidR="00F53242">
        <w:t>E</w:t>
      </w:r>
      <w:r w:rsidR="00DA7CF5">
        <w:t>kim</w:t>
      </w:r>
      <w:r w:rsidR="00955246" w:rsidRPr="009C3D5A">
        <w:t xml:space="preserve"> ayında Çin’den yaptığı ithalat </w:t>
      </w:r>
      <w:r w:rsidR="00B01160">
        <w:t>2,1</w:t>
      </w:r>
      <w:r w:rsidR="00DA7CF5">
        <w:t>1</w:t>
      </w:r>
      <w:r w:rsidR="00955246" w:rsidRPr="009C3D5A">
        <w:t xml:space="preserve"> milyar dolar olup Çin’i sırası ile </w:t>
      </w:r>
      <w:r w:rsidR="00DA7CF5">
        <w:t>2</w:t>
      </w:r>
      <w:r w:rsidR="006D5432" w:rsidRPr="009C3D5A">
        <w:t>,</w:t>
      </w:r>
      <w:r w:rsidR="00DA7CF5">
        <w:t>03</w:t>
      </w:r>
      <w:r w:rsidR="003D0EA9" w:rsidRPr="009C3D5A">
        <w:t xml:space="preserve"> milyar dolar ile </w:t>
      </w:r>
      <w:r w:rsidR="00501781">
        <w:t>Almanya</w:t>
      </w:r>
      <w:r w:rsidR="00955246" w:rsidRPr="009C3D5A">
        <w:t xml:space="preserve">, </w:t>
      </w:r>
      <w:r w:rsidR="006D5432" w:rsidRPr="009C3D5A">
        <w:t>1,</w:t>
      </w:r>
      <w:r w:rsidR="00DA7CF5">
        <w:t>79</w:t>
      </w:r>
      <w:r w:rsidR="003D0EA9" w:rsidRPr="009C3D5A">
        <w:t xml:space="preserve"> milyar dolar ile </w:t>
      </w:r>
      <w:r w:rsidR="00501781">
        <w:t>Rusya</w:t>
      </w:r>
      <w:r w:rsidR="00E50701">
        <w:t xml:space="preserve"> ve </w:t>
      </w:r>
      <w:r w:rsidR="00DA7CF5">
        <w:t>1,07 milyar</w:t>
      </w:r>
      <w:r w:rsidR="003D0EA9" w:rsidRPr="009C3D5A">
        <w:t xml:space="preserve"> dolar ile </w:t>
      </w:r>
      <w:r w:rsidR="00DA7CF5">
        <w:t>İtalya</w:t>
      </w:r>
      <w:r w:rsidR="00955246" w:rsidRPr="009C3D5A">
        <w:t xml:space="preserve">takip etmektedir. </w:t>
      </w:r>
    </w:p>
    <w:p w:rsidR="00314CD6" w:rsidRDefault="00D074EA" w:rsidP="00314CD6">
      <w:pPr>
        <w:spacing w:after="0" w:line="240" w:lineRule="auto"/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4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="00284EE7">
        <w:rPr>
          <w:rFonts w:eastAsia="Times New Roman" w:cs="Times New Roman"/>
          <w:b/>
          <w:bCs/>
          <w:kern w:val="36"/>
          <w:sz w:val="24"/>
          <w:szCs w:val="24"/>
        </w:rPr>
        <w:t xml:space="preserve">SITC Rev3 sınıflamasına göre </w:t>
      </w:r>
      <w:r w:rsidR="00207511">
        <w:rPr>
          <w:rFonts w:eastAsia="Times New Roman" w:cs="Times New Roman"/>
          <w:b/>
          <w:bCs/>
          <w:kern w:val="36"/>
          <w:sz w:val="24"/>
          <w:szCs w:val="24"/>
        </w:rPr>
        <w:t>dış ticaret, $  (2017</w:t>
      </w:r>
      <w:r w:rsidR="00801235">
        <w:rPr>
          <w:rFonts w:eastAsia="Times New Roman" w:cs="Times New Roman"/>
          <w:b/>
          <w:bCs/>
          <w:kern w:val="36"/>
          <w:sz w:val="24"/>
          <w:szCs w:val="24"/>
        </w:rPr>
        <w:t>Ekim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5"/>
        <w:gridCol w:w="529"/>
        <w:gridCol w:w="6231"/>
        <w:gridCol w:w="1842"/>
      </w:tblGrid>
      <w:tr w:rsidR="00801235" w:rsidRPr="00801235" w:rsidTr="006634A0">
        <w:trPr>
          <w:trHeight w:val="126"/>
        </w:trPr>
        <w:tc>
          <w:tcPr>
            <w:tcW w:w="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Sıra</w:t>
            </w:r>
          </w:p>
        </w:tc>
        <w:tc>
          <w:tcPr>
            <w:tcW w:w="52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SITC</w:t>
            </w:r>
          </w:p>
        </w:tc>
        <w:tc>
          <w:tcPr>
            <w:tcW w:w="623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SITC adı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İhracat Dolar</w:t>
            </w:r>
          </w:p>
        </w:tc>
      </w:tr>
      <w:tr w:rsidR="00801235" w:rsidRPr="00801235" w:rsidTr="006634A0">
        <w:trPr>
          <w:trHeight w:val="126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78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Motorlu kara taşıtları, bisiklet ver motosikletler, bunların aksam ve parçası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2.147.009.644   </w:t>
            </w:r>
          </w:p>
        </w:tc>
      </w:tr>
      <w:tr w:rsidR="00801235" w:rsidRPr="00801235" w:rsidTr="006634A0">
        <w:trPr>
          <w:trHeight w:val="126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84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Giyim eşyası ve bunların aksesuarları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1.359.713.634   </w:t>
            </w:r>
          </w:p>
        </w:tc>
      </w:tr>
      <w:tr w:rsidR="00801235" w:rsidRPr="00801235" w:rsidTr="006634A0">
        <w:trPr>
          <w:trHeight w:val="126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65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Tekstil ürünleri (iplik, kumaş, yer kaplamaları, hazır eşya)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1.072.328.379   </w:t>
            </w:r>
          </w:p>
        </w:tc>
      </w:tr>
      <w:tr w:rsidR="00801235" w:rsidRPr="00801235" w:rsidTr="006634A0">
        <w:trPr>
          <w:trHeight w:val="126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77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Elektrik makinaları, cihazları ve aletleri, vb. aksam, parçaları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851.611.150   </w:t>
            </w:r>
          </w:p>
        </w:tc>
      </w:tr>
      <w:tr w:rsidR="00801235" w:rsidRPr="00801235" w:rsidTr="006634A0">
        <w:trPr>
          <w:trHeight w:val="126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67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Meyve ve sebzeler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800.009.149   </w:t>
            </w:r>
          </w:p>
        </w:tc>
      </w:tr>
      <w:tr w:rsidR="00801235" w:rsidRPr="00801235" w:rsidTr="006634A0">
        <w:trPr>
          <w:trHeight w:val="126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5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Demir ve çelik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789.174.578   </w:t>
            </w:r>
          </w:p>
        </w:tc>
      </w:tr>
      <w:tr w:rsidR="00801235" w:rsidRPr="00801235" w:rsidTr="006634A0">
        <w:trPr>
          <w:trHeight w:val="126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89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Başka yerde belirtilmeyen çeşitli mamul eşyalar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556.241.032   </w:t>
            </w:r>
          </w:p>
        </w:tc>
      </w:tr>
      <w:tr w:rsidR="00801235" w:rsidRPr="00801235" w:rsidTr="006634A0">
        <w:trPr>
          <w:trHeight w:val="126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69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Demir, çelik, bakır, nikel, alüminyum ve diğer adi metallerden eşya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535.420.927   </w:t>
            </w:r>
          </w:p>
        </w:tc>
      </w:tr>
      <w:tr w:rsidR="00801235" w:rsidRPr="00801235" w:rsidTr="006634A0">
        <w:trPr>
          <w:trHeight w:val="126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97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Diğer genel endüstri makina/cihazların aksamları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375.000.029   </w:t>
            </w:r>
          </w:p>
        </w:tc>
      </w:tr>
      <w:tr w:rsidR="00801235" w:rsidRPr="00801235" w:rsidTr="006634A0">
        <w:trPr>
          <w:trHeight w:val="126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74</w:t>
            </w: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Petrol, petrolden elde edilen ürünler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334.266.453   </w:t>
            </w:r>
          </w:p>
        </w:tc>
      </w:tr>
    </w:tbl>
    <w:p w:rsidR="00D074EA" w:rsidRDefault="00D074EA" w:rsidP="00B61CAE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5"/>
        <w:gridCol w:w="528"/>
        <w:gridCol w:w="6232"/>
        <w:gridCol w:w="1842"/>
      </w:tblGrid>
      <w:tr w:rsidR="00801235" w:rsidRPr="00801235" w:rsidTr="006634A0">
        <w:trPr>
          <w:trHeight w:val="260"/>
        </w:trPr>
        <w:tc>
          <w:tcPr>
            <w:tcW w:w="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Sıra</w:t>
            </w:r>
          </w:p>
        </w:tc>
        <w:tc>
          <w:tcPr>
            <w:tcW w:w="52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SITC</w:t>
            </w:r>
          </w:p>
        </w:tc>
        <w:tc>
          <w:tcPr>
            <w:tcW w:w="623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SITC adı</w:t>
            </w:r>
          </w:p>
        </w:tc>
        <w:tc>
          <w:tcPr>
            <w:tcW w:w="1842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İthalat Dolar</w:t>
            </w:r>
          </w:p>
        </w:tc>
      </w:tr>
      <w:tr w:rsidR="00801235" w:rsidRPr="00801235" w:rsidTr="006634A0">
        <w:trPr>
          <w:trHeight w:val="260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39</w:t>
            </w:r>
          </w:p>
        </w:tc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Motorlu kara taşıtları, bisiklet ver motosikletler, bunların aksam ve parçası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1.811.696.848   </w:t>
            </w:r>
          </w:p>
        </w:tc>
      </w:tr>
      <w:tr w:rsidR="00801235" w:rsidRPr="00801235" w:rsidTr="006634A0">
        <w:trPr>
          <w:trHeight w:val="260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2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78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Gizli veri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1.719.661.568   </w:t>
            </w:r>
          </w:p>
        </w:tc>
      </w:tr>
      <w:tr w:rsidR="00801235" w:rsidRPr="00801235" w:rsidTr="006634A0">
        <w:trPr>
          <w:trHeight w:val="260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3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97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Elektrik makinaları, cihazları ve aletleri, vb. aksam, parçaları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1.423.129.706   </w:t>
            </w:r>
          </w:p>
        </w:tc>
      </w:tr>
      <w:tr w:rsidR="00801235" w:rsidRPr="00801235" w:rsidTr="006634A0">
        <w:trPr>
          <w:trHeight w:val="260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4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77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Demir ve çelik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1.184.379.640   </w:t>
            </w:r>
          </w:p>
        </w:tc>
      </w:tr>
      <w:tr w:rsidR="00801235" w:rsidRPr="00801235" w:rsidTr="006634A0">
        <w:trPr>
          <w:trHeight w:val="260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67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Petrol, petrolden elde edilen ürünler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952.098.920   </w:t>
            </w:r>
          </w:p>
        </w:tc>
      </w:tr>
      <w:tr w:rsidR="00801235" w:rsidRPr="00801235" w:rsidTr="006634A0">
        <w:trPr>
          <w:trHeight w:val="260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6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33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İlk şekillerde plastikler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937.367.121   </w:t>
            </w:r>
          </w:p>
        </w:tc>
      </w:tr>
      <w:tr w:rsidR="00801235" w:rsidRPr="00801235" w:rsidTr="006634A0">
        <w:trPr>
          <w:trHeight w:val="260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7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57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Diğer genel endüstri makina/cihazların aksamları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890.992.304   </w:t>
            </w:r>
          </w:p>
        </w:tc>
      </w:tr>
      <w:tr w:rsidR="00801235" w:rsidRPr="00801235" w:rsidTr="006634A0">
        <w:trPr>
          <w:trHeight w:val="260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8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74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Demir ihtiva etmeyen madenler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826.960.086   </w:t>
            </w:r>
          </w:p>
        </w:tc>
      </w:tr>
      <w:tr w:rsidR="00801235" w:rsidRPr="00801235" w:rsidTr="006634A0">
        <w:trPr>
          <w:trHeight w:val="260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9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28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Metal cevherleri, döküntüleri, hurdaları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822.120.514   </w:t>
            </w:r>
          </w:p>
        </w:tc>
      </w:tr>
      <w:tr w:rsidR="00801235" w:rsidRPr="00801235" w:rsidTr="006634A0">
        <w:trPr>
          <w:trHeight w:val="260"/>
        </w:trPr>
        <w:tc>
          <w:tcPr>
            <w:tcW w:w="48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</w:pPr>
            <w:r w:rsidRPr="00801235">
              <w:rPr>
                <w:rFonts w:ascii="Calibri" w:eastAsia="Times New Roman" w:hAnsi="Calibri" w:cs="Calibri"/>
                <w:b/>
                <w:bCs/>
                <w:color w:val="FFFFFF"/>
                <w:sz w:val="20"/>
              </w:rPr>
              <w:t>10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71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>Altın, parasal olmayan (altın madeni ve konsantreleri hariç)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235" w:rsidRPr="00801235" w:rsidRDefault="00801235" w:rsidP="00801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801235">
              <w:rPr>
                <w:rFonts w:ascii="Calibri" w:eastAsia="Times New Roman" w:hAnsi="Calibri" w:cs="Calibri"/>
                <w:color w:val="000000"/>
                <w:sz w:val="20"/>
              </w:rPr>
              <w:t xml:space="preserve">               818.861.971   </w:t>
            </w:r>
          </w:p>
        </w:tc>
      </w:tr>
    </w:tbl>
    <w:p w:rsidR="00C56530" w:rsidRPr="00207D30" w:rsidRDefault="00C56530" w:rsidP="00C56530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D074EA" w:rsidRDefault="00C56530" w:rsidP="00D074EA">
      <w:pPr>
        <w:jc w:val="both"/>
      </w:pPr>
      <w:r>
        <w:br/>
      </w:r>
      <w:r w:rsidR="00D074EA" w:rsidRPr="009C3D5A">
        <w:t>Se</w:t>
      </w:r>
      <w:r w:rsidR="006306C8">
        <w:t>ktörel ihracatta</w:t>
      </w:r>
      <w:r w:rsidR="00D074EA">
        <w:t>, 2017</w:t>
      </w:r>
      <w:r w:rsidR="00F727B6">
        <w:t>E</w:t>
      </w:r>
      <w:r w:rsidR="00801235">
        <w:t>kim ayında 2</w:t>
      </w:r>
      <w:r w:rsidR="006306C8">
        <w:t>,</w:t>
      </w:r>
      <w:r w:rsidR="00801235">
        <w:t>15</w:t>
      </w:r>
      <w:r w:rsidR="006306C8">
        <w:t xml:space="preserve"> milyar dolar ile </w:t>
      </w:r>
      <w:r w:rsidR="00F727B6">
        <w:t>m</w:t>
      </w:r>
      <w:r w:rsidR="00F727B6" w:rsidRPr="009E6645">
        <w:t>oto</w:t>
      </w:r>
      <w:r w:rsidR="00F727B6">
        <w:t>rlu kara taşıtları, bisiklet ve</w:t>
      </w:r>
      <w:r w:rsidR="00F727B6" w:rsidRPr="009E6645">
        <w:t xml:space="preserve"> motosikletler, bunların aksam ve parçası</w:t>
      </w:r>
      <w:r w:rsidR="006306C8">
        <w:t>lider konumdadır.</w:t>
      </w:r>
      <w:r w:rsidR="00D074EA" w:rsidRPr="009C3D5A">
        <w:t xml:space="preserve"> Sektörü </w:t>
      </w:r>
      <w:r w:rsidR="006306C8">
        <w:t>1,</w:t>
      </w:r>
      <w:r w:rsidR="00801235">
        <w:t>36</w:t>
      </w:r>
      <w:r w:rsidR="00D074EA" w:rsidRPr="009C3D5A">
        <w:t xml:space="preserve"> milyar dolar ile </w:t>
      </w:r>
      <w:r w:rsidR="00F727B6">
        <w:t>g</w:t>
      </w:r>
      <w:r w:rsidR="00F727B6" w:rsidRPr="009E6645">
        <w:t>iyim eşyası ve bunların aksesuarları</w:t>
      </w:r>
      <w:r w:rsidR="006306C8" w:rsidRPr="009C3D5A">
        <w:t>ihracatı</w:t>
      </w:r>
      <w:r w:rsidR="00D074EA" w:rsidRPr="009C3D5A">
        <w:t xml:space="preserve">ve </w:t>
      </w:r>
      <w:r w:rsidR="00801235">
        <w:t>1,07 milyar</w:t>
      </w:r>
      <w:r w:rsidR="00D074EA" w:rsidRPr="009C3D5A">
        <w:t xml:space="preserve">dolar ile </w:t>
      </w:r>
      <w:r w:rsidR="006306C8">
        <w:t>t</w:t>
      </w:r>
      <w:r w:rsidR="00F727B6">
        <w:t>eks</w:t>
      </w:r>
      <w:r w:rsidR="006306C8" w:rsidRPr="006306C8">
        <w:t>til ürünleri (iplik, kumaş, yer kaplamaları, hazır eşya)</w:t>
      </w:r>
      <w:r w:rsidR="00D074EA" w:rsidRPr="009C3D5A">
        <w:t xml:space="preserve">ihracatı takip etmektedir. İthalatta ise </w:t>
      </w:r>
      <w:r w:rsidR="006306C8">
        <w:t>ilk sırayı 1</w:t>
      </w:r>
      <w:r w:rsidR="00D074EA">
        <w:t>,</w:t>
      </w:r>
      <w:r w:rsidR="00801235">
        <w:t>81</w:t>
      </w:r>
      <w:r w:rsidR="00D074EA" w:rsidRPr="009C3D5A">
        <w:t xml:space="preserve"> milyar dolarlık ithalatı ile </w:t>
      </w:r>
      <w:r w:rsidR="00801235">
        <w:t>m</w:t>
      </w:r>
      <w:r w:rsidR="00801235" w:rsidRPr="009E6645">
        <w:t>oto</w:t>
      </w:r>
      <w:r w:rsidR="00801235">
        <w:t>rlu kara taşıtları, bisiklet ve</w:t>
      </w:r>
      <w:r w:rsidR="00801235" w:rsidRPr="009E6645">
        <w:t xml:space="preserve"> motosikletler, bunların aksam ve parçası</w:t>
      </w:r>
      <w:r w:rsidR="00801235">
        <w:t xml:space="preserve">alırken onu 1,72 milyar dolar ile </w:t>
      </w:r>
      <w:r w:rsidR="006306C8" w:rsidRPr="002117E9">
        <w:lastRenderedPageBreak/>
        <w:t>aç</w:t>
      </w:r>
      <w:r w:rsidR="006306C8">
        <w:t>ıklanmayan (Gizli ver</w:t>
      </w:r>
      <w:r w:rsidR="00F727B6">
        <w:t>i) ürünler</w:t>
      </w:r>
      <w:r w:rsidR="00801235">
        <w:t xml:space="preserve"> ve 1,42 milyar dolarlık ithalatı ile elektrik makinaları, cihazları ve aletler, vb. aksam parçaları takip etmektedir.</w:t>
      </w:r>
    </w:p>
    <w:p w:rsidR="00207D30" w:rsidRPr="00207D30" w:rsidRDefault="00207D30" w:rsidP="00207D30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5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İmalat sanayi ürünleri için teknoloji yoğunluğu, mily</w:t>
      </w:r>
      <w:r w:rsidR="00D864BD">
        <w:rPr>
          <w:rFonts w:eastAsia="Times New Roman" w:cs="Times New Roman"/>
          <w:b/>
          <w:bCs/>
          <w:kern w:val="36"/>
          <w:sz w:val="24"/>
          <w:szCs w:val="24"/>
        </w:rPr>
        <w:t>ar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$</w:t>
      </w:r>
      <w:r w:rsidR="00293278">
        <w:rPr>
          <w:rFonts w:eastAsia="Times New Roman" w:cs="Times New Roman"/>
          <w:b/>
          <w:bCs/>
          <w:kern w:val="36"/>
          <w:sz w:val="24"/>
          <w:szCs w:val="24"/>
        </w:rPr>
        <w:t>, %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 (2017</w:t>
      </w:r>
      <w:r w:rsidR="00F727B6">
        <w:rPr>
          <w:rFonts w:eastAsia="Times New Roman" w:cs="Times New Roman"/>
          <w:b/>
          <w:bCs/>
          <w:kern w:val="36"/>
          <w:sz w:val="24"/>
          <w:szCs w:val="24"/>
        </w:rPr>
        <w:t>E</w:t>
      </w:r>
      <w:r w:rsidR="0019086A">
        <w:rPr>
          <w:rFonts w:eastAsia="Times New Roman" w:cs="Times New Roman"/>
          <w:b/>
          <w:bCs/>
          <w:kern w:val="36"/>
          <w:sz w:val="24"/>
          <w:szCs w:val="24"/>
        </w:rPr>
        <w:t>kim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5402" w:type="dxa"/>
        <w:tblInd w:w="93" w:type="dxa"/>
        <w:tblLook w:val="04A0"/>
      </w:tblPr>
      <w:tblGrid>
        <w:gridCol w:w="2425"/>
        <w:gridCol w:w="1559"/>
        <w:gridCol w:w="1418"/>
      </w:tblGrid>
      <w:tr w:rsidR="008378AE" w:rsidRPr="008378AE" w:rsidTr="008378AE">
        <w:trPr>
          <w:trHeight w:val="25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İhracat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Toplamimalatsanayi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12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0473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3,9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0B17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36,0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104735">
              <w:rPr>
                <w:rFonts w:ascii="Calibri" w:eastAsia="Times New Roman" w:hAnsi="Calibri" w:cs="Calibri"/>
                <w:color w:val="000000"/>
                <w:lang w:val="en-US"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26,1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34,0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tbl>
      <w:tblPr>
        <w:tblW w:w="5402" w:type="dxa"/>
        <w:tblInd w:w="93" w:type="dxa"/>
        <w:tblLook w:val="04A0"/>
      </w:tblPr>
      <w:tblGrid>
        <w:gridCol w:w="2425"/>
        <w:gridCol w:w="1559"/>
        <w:gridCol w:w="1418"/>
      </w:tblGrid>
      <w:tr w:rsidR="008378AE" w:rsidRPr="008378AE" w:rsidTr="008378AE">
        <w:trPr>
          <w:trHeight w:val="21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İthalat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Toplamimalatsanayi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19086A">
              <w:rPr>
                <w:rFonts w:ascii="Calibri" w:eastAsia="Times New Roman" w:hAnsi="Calibri" w:cs="Calibri"/>
                <w:color w:val="000000"/>
                <w:lang w:val="en-US" w:eastAsia="en-US"/>
              </w:rPr>
              <w:t>7,</w:t>
            </w:r>
            <w:r w:rsidR="00104735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  <w:r w:rsidR="0019086A">
              <w:rPr>
                <w:rFonts w:ascii="Calibri" w:eastAsia="Times New Roman" w:hAnsi="Calibri" w:cs="Calibri"/>
                <w:color w:val="000000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16</w:t>
            </w:r>
            <w:r w:rsidR="00104735">
              <w:rPr>
                <w:rFonts w:ascii="Calibri" w:eastAsia="Times New Roman" w:hAnsi="Calibri" w:cs="Calibri"/>
                <w:color w:val="000000"/>
                <w:lang w:val="en-US" w:eastAsia="en-US"/>
              </w:rPr>
              <w:t>,6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42,3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30,4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0473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10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,8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D30" w:rsidRPr="00D074EA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p w:rsidR="00E27E57" w:rsidRPr="00DD6AA5" w:rsidRDefault="00C7379E" w:rsidP="00E27E57">
      <w:pPr>
        <w:jc w:val="both"/>
      </w:pPr>
      <w:r w:rsidRPr="009C3D5A">
        <w:t xml:space="preserve">Türkiye İstatistik Kurumu imalat sanayi ürünleri için teknoloji yoğunluğuna göre dış ticaret verilerini de açıklamaktadır. ISIC </w:t>
      </w:r>
      <w:r w:rsidR="00C1467F">
        <w:t>REV</w:t>
      </w:r>
      <w:r w:rsidRPr="009C3D5A">
        <w:t>.3 sınıflamasına göre</w:t>
      </w:r>
      <w:r w:rsidR="00284EE7">
        <w:t xml:space="preserve"> 2017</w:t>
      </w:r>
      <w:r w:rsidR="0019086A">
        <w:t>Ekim</w:t>
      </w:r>
      <w:r w:rsidR="007C155D" w:rsidRPr="009C3D5A">
        <w:t xml:space="preserve"> ayında </w:t>
      </w:r>
      <w:r w:rsidRPr="009C3D5A">
        <w:t xml:space="preserve">imalat sanayi ürünlerinin toplam </w:t>
      </w:r>
      <w:r w:rsidR="008378AE">
        <w:t>ihracatı içerisinde</w:t>
      </w:r>
      <w:r w:rsidR="00C1467F">
        <w:t>yüksek</w:t>
      </w:r>
      <w:r w:rsidRPr="009C3D5A">
        <w:t xml:space="preserve"> teknoloji</w:t>
      </w:r>
      <w:r w:rsidR="00C1467F">
        <w:t>li</w:t>
      </w:r>
      <w:r w:rsidR="008378AE">
        <w:t xml:space="preserve"> ürünlerin </w:t>
      </w:r>
      <w:r w:rsidR="00D471EB">
        <w:t>payı yüzde 3</w:t>
      </w:r>
      <w:r w:rsidR="007C155D" w:rsidRPr="009C3D5A">
        <w:t>,</w:t>
      </w:r>
      <w:r w:rsidR="00104735">
        <w:t>9</w:t>
      </w:r>
      <w:r w:rsidRPr="009C3D5A">
        <w:t xml:space="preserve">, orta </w:t>
      </w:r>
      <w:r w:rsidR="00C1467F">
        <w:t>yüksek</w:t>
      </w:r>
      <w:r w:rsidRPr="009C3D5A">
        <w:t xml:space="preserve"> tekno</w:t>
      </w:r>
      <w:r w:rsidR="007C155D" w:rsidRPr="009C3D5A">
        <w:t>loji</w:t>
      </w:r>
      <w:r w:rsidR="00C1467F">
        <w:t>li</w:t>
      </w:r>
      <w:r w:rsidR="007C155D" w:rsidRPr="009C3D5A">
        <w:t xml:space="preserve"> ürünlerin payı ise yüzde </w:t>
      </w:r>
      <w:r w:rsidR="0019086A">
        <w:t>3</w:t>
      </w:r>
      <w:r w:rsidR="00104735">
        <w:t>6’dı</w:t>
      </w:r>
      <w:r w:rsidR="008378AE">
        <w:t>r</w:t>
      </w:r>
      <w:r w:rsidRPr="009C3D5A">
        <w:t>.</w:t>
      </w:r>
      <w:r w:rsidR="00E27E57" w:rsidRPr="009C3D5A">
        <w:t xml:space="preserve"> İthalatta ise imalat </w:t>
      </w:r>
      <w:r w:rsidR="007C155D" w:rsidRPr="009C3D5A">
        <w:t>sa</w:t>
      </w:r>
      <w:r w:rsidR="008378AE">
        <w:t xml:space="preserve">nayi ürünleri içerisinde </w:t>
      </w:r>
      <w:r w:rsidR="00C1467F">
        <w:t>yüksek</w:t>
      </w:r>
      <w:r w:rsidR="00E27E57" w:rsidRPr="009C3D5A">
        <w:t xml:space="preserve"> teknoloji</w:t>
      </w:r>
      <w:r w:rsidR="00C1467F">
        <w:t>li</w:t>
      </w:r>
      <w:r w:rsidR="0019086A">
        <w:t>ürünlerinin payı yüzde 16</w:t>
      </w:r>
      <w:r w:rsidR="00104735">
        <w:t>,6</w:t>
      </w:r>
      <w:r w:rsidR="00E27E57" w:rsidRPr="009C3D5A">
        <w:t xml:space="preserve"> olmuştur. Orta </w:t>
      </w:r>
      <w:r w:rsidR="00C1467F">
        <w:t>yüksek</w:t>
      </w:r>
      <w:r w:rsidR="00E27E57" w:rsidRPr="009C3D5A">
        <w:t xml:space="preserve"> teknoloji</w:t>
      </w:r>
      <w:r w:rsidR="0019086A">
        <w:t>li ürünlerin payı ise yüzde 42,3’tü</w:t>
      </w:r>
      <w:r w:rsidR="00104735">
        <w:t>r</w:t>
      </w:r>
      <w:r w:rsidR="00E27E57" w:rsidRPr="009C3D5A">
        <w:t>.</w:t>
      </w:r>
    </w:p>
    <w:p w:rsidR="00CE7503" w:rsidRPr="00DD6AA5" w:rsidRDefault="00CE7503"/>
    <w:p w:rsidR="006A09A3" w:rsidRPr="00DD6AA5" w:rsidRDefault="006A09A3"/>
    <w:p w:rsidR="006A09A3" w:rsidRPr="00DD6AA5" w:rsidRDefault="006A09A3"/>
    <w:sectPr w:rsidR="006A09A3" w:rsidRPr="00DD6AA5" w:rsidSect="00E201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1E0" w:rsidRDefault="000B01E0" w:rsidP="00F43AC2">
      <w:pPr>
        <w:spacing w:after="0" w:line="240" w:lineRule="auto"/>
      </w:pPr>
      <w:r>
        <w:separator/>
      </w:r>
    </w:p>
  </w:endnote>
  <w:endnote w:type="continuationSeparator" w:id="1">
    <w:p w:rsidR="000B01E0" w:rsidRDefault="000B01E0" w:rsidP="00F4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5396"/>
      <w:docPartObj>
        <w:docPartGallery w:val="Page Numbers (Bottom of Page)"/>
        <w:docPartUnique/>
      </w:docPartObj>
    </w:sdtPr>
    <w:sdtContent>
      <w:p w:rsidR="00820484" w:rsidRDefault="0011717D">
        <w:pPr>
          <w:pStyle w:val="Altbilgi"/>
          <w:jc w:val="right"/>
        </w:pPr>
        <w:r>
          <w:fldChar w:fldCharType="begin"/>
        </w:r>
        <w:r w:rsidR="002B763F">
          <w:instrText xml:space="preserve"> PAGE   \* MERGEFORMAT </w:instrText>
        </w:r>
        <w:r>
          <w:fldChar w:fldCharType="separate"/>
        </w:r>
        <w:r w:rsidR="00DC48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0484" w:rsidRDefault="0082048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1E0" w:rsidRDefault="000B01E0" w:rsidP="00F43AC2">
      <w:pPr>
        <w:spacing w:after="0" w:line="240" w:lineRule="auto"/>
      </w:pPr>
      <w:r>
        <w:separator/>
      </w:r>
    </w:p>
  </w:footnote>
  <w:footnote w:type="continuationSeparator" w:id="1">
    <w:p w:rsidR="000B01E0" w:rsidRDefault="000B01E0" w:rsidP="00F4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D01"/>
    <w:rsid w:val="00011017"/>
    <w:rsid w:val="000169CD"/>
    <w:rsid w:val="000174DC"/>
    <w:rsid w:val="00024004"/>
    <w:rsid w:val="00024E59"/>
    <w:rsid w:val="00030B38"/>
    <w:rsid w:val="00034A51"/>
    <w:rsid w:val="00047A3E"/>
    <w:rsid w:val="00047CE7"/>
    <w:rsid w:val="00066999"/>
    <w:rsid w:val="000B01E0"/>
    <w:rsid w:val="000B0F76"/>
    <w:rsid w:val="000B1709"/>
    <w:rsid w:val="000C0786"/>
    <w:rsid w:val="000E09A3"/>
    <w:rsid w:val="000E65E3"/>
    <w:rsid w:val="00104735"/>
    <w:rsid w:val="0011717D"/>
    <w:rsid w:val="00134344"/>
    <w:rsid w:val="001603F9"/>
    <w:rsid w:val="0019086A"/>
    <w:rsid w:val="001F5C25"/>
    <w:rsid w:val="00207511"/>
    <w:rsid w:val="00207D30"/>
    <w:rsid w:val="002117E9"/>
    <w:rsid w:val="002157EE"/>
    <w:rsid w:val="002349EC"/>
    <w:rsid w:val="0023568E"/>
    <w:rsid w:val="00240215"/>
    <w:rsid w:val="00254707"/>
    <w:rsid w:val="00270B23"/>
    <w:rsid w:val="00273DDB"/>
    <w:rsid w:val="00284EE7"/>
    <w:rsid w:val="0029300F"/>
    <w:rsid w:val="00293278"/>
    <w:rsid w:val="002B628C"/>
    <w:rsid w:val="002B763F"/>
    <w:rsid w:val="002E5CA2"/>
    <w:rsid w:val="002E6E48"/>
    <w:rsid w:val="00314005"/>
    <w:rsid w:val="00314CD6"/>
    <w:rsid w:val="003367F9"/>
    <w:rsid w:val="003944A2"/>
    <w:rsid w:val="003D0EA9"/>
    <w:rsid w:val="003F4F3D"/>
    <w:rsid w:val="00412B6A"/>
    <w:rsid w:val="00421039"/>
    <w:rsid w:val="004602F8"/>
    <w:rsid w:val="00472AF7"/>
    <w:rsid w:val="0048257F"/>
    <w:rsid w:val="004D49AB"/>
    <w:rsid w:val="004E0C1E"/>
    <w:rsid w:val="004E7AA7"/>
    <w:rsid w:val="004F0E9E"/>
    <w:rsid w:val="00501781"/>
    <w:rsid w:val="00577896"/>
    <w:rsid w:val="005A735F"/>
    <w:rsid w:val="005B007A"/>
    <w:rsid w:val="005B74E2"/>
    <w:rsid w:val="005C02CC"/>
    <w:rsid w:val="005D6CB6"/>
    <w:rsid w:val="005E55BC"/>
    <w:rsid w:val="006006DA"/>
    <w:rsid w:val="0060716F"/>
    <w:rsid w:val="006306C8"/>
    <w:rsid w:val="00635D39"/>
    <w:rsid w:val="006538E8"/>
    <w:rsid w:val="006634A0"/>
    <w:rsid w:val="00672626"/>
    <w:rsid w:val="00676E49"/>
    <w:rsid w:val="006864AB"/>
    <w:rsid w:val="006A09A3"/>
    <w:rsid w:val="006C1C96"/>
    <w:rsid w:val="006D5432"/>
    <w:rsid w:val="006E3C93"/>
    <w:rsid w:val="006E7CD2"/>
    <w:rsid w:val="006F66DA"/>
    <w:rsid w:val="00764636"/>
    <w:rsid w:val="00790C7B"/>
    <w:rsid w:val="007C155D"/>
    <w:rsid w:val="007C538F"/>
    <w:rsid w:val="007D10EA"/>
    <w:rsid w:val="007F367A"/>
    <w:rsid w:val="007F50E4"/>
    <w:rsid w:val="00801235"/>
    <w:rsid w:val="00820484"/>
    <w:rsid w:val="00831B3B"/>
    <w:rsid w:val="008378AE"/>
    <w:rsid w:val="00847FC9"/>
    <w:rsid w:val="00867C71"/>
    <w:rsid w:val="0087171E"/>
    <w:rsid w:val="00886790"/>
    <w:rsid w:val="00890E8A"/>
    <w:rsid w:val="00894D47"/>
    <w:rsid w:val="008A1816"/>
    <w:rsid w:val="008B246F"/>
    <w:rsid w:val="008D17ED"/>
    <w:rsid w:val="008F7528"/>
    <w:rsid w:val="009435E7"/>
    <w:rsid w:val="0094521C"/>
    <w:rsid w:val="0095258A"/>
    <w:rsid w:val="00955246"/>
    <w:rsid w:val="0097055D"/>
    <w:rsid w:val="009C3D5A"/>
    <w:rsid w:val="009E6645"/>
    <w:rsid w:val="00A01B59"/>
    <w:rsid w:val="00A13941"/>
    <w:rsid w:val="00A17326"/>
    <w:rsid w:val="00A2009E"/>
    <w:rsid w:val="00A62888"/>
    <w:rsid w:val="00A6670C"/>
    <w:rsid w:val="00A86AF1"/>
    <w:rsid w:val="00A9435C"/>
    <w:rsid w:val="00AD00C3"/>
    <w:rsid w:val="00AF5794"/>
    <w:rsid w:val="00B01160"/>
    <w:rsid w:val="00B116E5"/>
    <w:rsid w:val="00B1525D"/>
    <w:rsid w:val="00B27572"/>
    <w:rsid w:val="00B61CAE"/>
    <w:rsid w:val="00B772CF"/>
    <w:rsid w:val="00B77C4F"/>
    <w:rsid w:val="00B861B5"/>
    <w:rsid w:val="00BB3701"/>
    <w:rsid w:val="00BC0061"/>
    <w:rsid w:val="00BC608C"/>
    <w:rsid w:val="00BD283D"/>
    <w:rsid w:val="00BF70F9"/>
    <w:rsid w:val="00C13B06"/>
    <w:rsid w:val="00C1467F"/>
    <w:rsid w:val="00C1695B"/>
    <w:rsid w:val="00C21BFE"/>
    <w:rsid w:val="00C56530"/>
    <w:rsid w:val="00C6508C"/>
    <w:rsid w:val="00C7379E"/>
    <w:rsid w:val="00CA31BE"/>
    <w:rsid w:val="00CB030C"/>
    <w:rsid w:val="00CB0A4D"/>
    <w:rsid w:val="00CC376F"/>
    <w:rsid w:val="00CD4865"/>
    <w:rsid w:val="00CE7503"/>
    <w:rsid w:val="00D074EA"/>
    <w:rsid w:val="00D07D01"/>
    <w:rsid w:val="00D471EB"/>
    <w:rsid w:val="00D5436F"/>
    <w:rsid w:val="00D57F21"/>
    <w:rsid w:val="00D61B49"/>
    <w:rsid w:val="00D80CC9"/>
    <w:rsid w:val="00D864BD"/>
    <w:rsid w:val="00DA7CF5"/>
    <w:rsid w:val="00DB20D7"/>
    <w:rsid w:val="00DB359A"/>
    <w:rsid w:val="00DC15D2"/>
    <w:rsid w:val="00DC48C3"/>
    <w:rsid w:val="00DC5CA2"/>
    <w:rsid w:val="00DD6AA5"/>
    <w:rsid w:val="00E0516C"/>
    <w:rsid w:val="00E07918"/>
    <w:rsid w:val="00E20164"/>
    <w:rsid w:val="00E27E57"/>
    <w:rsid w:val="00E34DEB"/>
    <w:rsid w:val="00E50701"/>
    <w:rsid w:val="00E542E3"/>
    <w:rsid w:val="00E551E6"/>
    <w:rsid w:val="00E83CB2"/>
    <w:rsid w:val="00E86C2E"/>
    <w:rsid w:val="00E92FFF"/>
    <w:rsid w:val="00EB3D95"/>
    <w:rsid w:val="00EB5E5C"/>
    <w:rsid w:val="00EC602A"/>
    <w:rsid w:val="00F11B62"/>
    <w:rsid w:val="00F306F9"/>
    <w:rsid w:val="00F3379C"/>
    <w:rsid w:val="00F43AC2"/>
    <w:rsid w:val="00F53242"/>
    <w:rsid w:val="00F727B6"/>
    <w:rsid w:val="00F72F39"/>
    <w:rsid w:val="00FA365B"/>
    <w:rsid w:val="00FB0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Ekim_d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Ekim_d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>
        <c:manualLayout>
          <c:layoutTarget val="inner"/>
          <c:xMode val="edge"/>
          <c:yMode val="edge"/>
          <c:x val="1.2881640499508901E-2"/>
          <c:y val="0.12997432386169125"/>
          <c:w val="0.97423671900098208"/>
          <c:h val="0.32320987654320998"/>
        </c:manualLayout>
      </c:layout>
      <c:barChart>
        <c:barDir val="col"/>
        <c:grouping val="clustered"/>
        <c:ser>
          <c:idx val="0"/>
          <c:order val="0"/>
          <c:tx>
            <c:strRef>
              <c:f>Sayfa1!$J$20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2060"/>
            </a:solidFill>
          </c:spPr>
          <c:dLbls>
            <c:dLbl>
              <c:idx val="1"/>
              <c:layout>
                <c:manualLayout>
                  <c:x val="0"/>
                  <c:y val="-3.9800995024875642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9900497512437835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1.6460905349794247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1.9900497512437821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1.6460905349794247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1.6460905349794247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1.3266998341625213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1.6460905349794247E-2"/>
                </c:manualLayout>
              </c:layout>
              <c:showVal val="1"/>
            </c:dLbl>
            <c:dLbl>
              <c:idx val="9"/>
              <c:layout>
                <c:manualLayout>
                  <c:x val="-2.1645021645021654E-3"/>
                  <c:y val="1.990049751243782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tr-TR"/>
              </a:p>
            </c:txPr>
            <c:showVal val="1"/>
          </c:dLbls>
          <c:cat>
            <c:strRef>
              <c:f>Sayfa1!$I$21:$I$32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Sayfa1!$J$21:$J$32</c:f>
              <c:numCache>
                <c:formatCode>0.0</c:formatCode>
                <c:ptCount val="12"/>
                <c:pt idx="0">
                  <c:v>9.5461153999999997</c:v>
                </c:pt>
                <c:pt idx="1">
                  <c:v>12.366388057000004</c:v>
                </c:pt>
                <c:pt idx="2">
                  <c:v>12.757672093</c:v>
                </c:pt>
                <c:pt idx="3">
                  <c:v>11.950497685000004</c:v>
                </c:pt>
                <c:pt idx="4">
                  <c:v>12.098611066999998</c:v>
                </c:pt>
                <c:pt idx="5">
                  <c:v>12.864154060000002</c:v>
                </c:pt>
                <c:pt idx="6">
                  <c:v>9.8501248720000039</c:v>
                </c:pt>
                <c:pt idx="7">
                  <c:v>11.83076282</c:v>
                </c:pt>
                <c:pt idx="8">
                  <c:v>10.901638452</c:v>
                </c:pt>
                <c:pt idx="9">
                  <c:v>12.79615991</c:v>
                </c:pt>
                <c:pt idx="10">
                  <c:v>12.786936247000003</c:v>
                </c:pt>
                <c:pt idx="11">
                  <c:v>12.780523144999998</c:v>
                </c:pt>
              </c:numCache>
            </c:numRef>
          </c:val>
        </c:ser>
        <c:ser>
          <c:idx val="1"/>
          <c:order val="1"/>
          <c:tx>
            <c:strRef>
              <c:f>Sayfa1!$K$20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1"/>
              <c:layout>
                <c:manualLayout>
                  <c:x val="0"/>
                  <c:y val="1.6460905349794247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1.6460905349794247E-2"/>
                </c:manualLayout>
              </c:layout>
              <c:showVal val="1"/>
            </c:dLbl>
            <c:dLbl>
              <c:idx val="3"/>
              <c:layout>
                <c:manualLayout>
                  <c:x val="-3.9682081271750701E-17"/>
                  <c:y val="-1.9900497512437821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3.2921810699588494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-3.3167495854063034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2.4691358024691377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tr-TR"/>
              </a:p>
            </c:txPr>
            <c:showVal val="1"/>
          </c:dLbls>
          <c:cat>
            <c:strRef>
              <c:f>Sayfa1!$I$21:$I$32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Sayfa1!$K$21:$K$32</c:f>
              <c:numCache>
                <c:formatCode>0.0</c:formatCode>
                <c:ptCount val="12"/>
                <c:pt idx="0">
                  <c:v>11.249400549000002</c:v>
                </c:pt>
                <c:pt idx="1">
                  <c:v>12.093106588000003</c:v>
                </c:pt>
                <c:pt idx="2">
                  <c:v>14.474377644999999</c:v>
                </c:pt>
                <c:pt idx="3">
                  <c:v>12.862940727000003</c:v>
                </c:pt>
                <c:pt idx="4">
                  <c:v>13.586915379000002</c:v>
                </c:pt>
                <c:pt idx="5">
                  <c:v>13.130136286000004</c:v>
                </c:pt>
                <c:pt idx="6">
                  <c:v>12.617021286999998</c:v>
                </c:pt>
                <c:pt idx="7">
                  <c:v>13.255798371000003</c:v>
                </c:pt>
                <c:pt idx="8">
                  <c:v>11.821577167999999</c:v>
                </c:pt>
                <c:pt idx="9">
                  <c:v>13.942402674000004</c:v>
                </c:pt>
              </c:numCache>
            </c:numRef>
          </c:val>
        </c:ser>
        <c:dLbls>
          <c:showVal val="1"/>
        </c:dLbls>
        <c:overlap val="-25"/>
        <c:axId val="108576128"/>
        <c:axId val="108586112"/>
      </c:barChart>
      <c:catAx>
        <c:axId val="108576128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sz="1000" b="1"/>
            </a:pPr>
            <a:endParaRPr lang="tr-TR"/>
          </a:p>
        </c:txPr>
        <c:crossAx val="108586112"/>
        <c:crosses val="autoZero"/>
        <c:auto val="1"/>
        <c:lblAlgn val="ctr"/>
        <c:lblOffset val="100"/>
      </c:catAx>
      <c:valAx>
        <c:axId val="108586112"/>
        <c:scaling>
          <c:orientation val="minMax"/>
        </c:scaling>
        <c:delete val="1"/>
        <c:axPos val="l"/>
        <c:numFmt formatCode="0.0" sourceLinked="1"/>
        <c:tickLblPos val="nextTo"/>
        <c:crossAx val="108576128"/>
        <c:crosses val="autoZero"/>
        <c:crossBetween val="between"/>
      </c:valAx>
    </c:plotArea>
    <c:legend>
      <c:legendPos val="b"/>
      <c:txPr>
        <a:bodyPr/>
        <a:lstStyle/>
        <a:p>
          <a:pPr>
            <a:defRPr sz="1000"/>
          </a:pPr>
          <a:endParaRPr lang="tr-TR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>
        <c:manualLayout>
          <c:layoutTarget val="inner"/>
          <c:xMode val="edge"/>
          <c:yMode val="edge"/>
          <c:x val="2.357984994640944E-2"/>
          <c:y val="5.4263565891472874E-2"/>
          <c:w val="0.95284030010718135"/>
          <c:h val="0.38352926814380783"/>
        </c:manualLayout>
      </c:layout>
      <c:barChart>
        <c:barDir val="col"/>
        <c:grouping val="clustered"/>
        <c:ser>
          <c:idx val="0"/>
          <c:order val="0"/>
          <c:tx>
            <c:strRef>
              <c:f>Sayfa1!$P$20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2060"/>
            </a:solidFill>
          </c:spPr>
          <c:dLbls>
            <c:dLbl>
              <c:idx val="1"/>
              <c:layout>
                <c:manualLayout>
                  <c:x val="0"/>
                  <c:y val="1.550387596899224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5503875968992257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1.5503875968992257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1.5503875968992257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tr-TR"/>
              </a:p>
            </c:txPr>
            <c:showVal val="1"/>
          </c:dLbls>
          <c:cat>
            <c:strRef>
              <c:f>Sayfa1!$O$21:$O$32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Sayfa1!$P$21:$P$32</c:f>
              <c:numCache>
                <c:formatCode>0.0</c:formatCode>
                <c:ptCount val="12"/>
                <c:pt idx="0">
                  <c:v>13.452704617000007</c:v>
                </c:pt>
                <c:pt idx="1">
                  <c:v>15.578255076</c:v>
                </c:pt>
                <c:pt idx="2">
                  <c:v>17.766239355999989</c:v>
                </c:pt>
                <c:pt idx="3">
                  <c:v>16.187635374999992</c:v>
                </c:pt>
                <c:pt idx="4">
                  <c:v>17.196657045000009</c:v>
                </c:pt>
                <c:pt idx="5">
                  <c:v>19.476281695000001</c:v>
                </c:pt>
                <c:pt idx="6">
                  <c:v>14.694996423000001</c:v>
                </c:pt>
                <c:pt idx="7">
                  <c:v>16.614181203000008</c:v>
                </c:pt>
                <c:pt idx="8">
                  <c:v>15.297881162999998</c:v>
                </c:pt>
                <c:pt idx="9">
                  <c:v>17.00861493099999</c:v>
                </c:pt>
                <c:pt idx="10">
                  <c:v>16.934532449999988</c:v>
                </c:pt>
                <c:pt idx="11">
                  <c:v>18.410255712999998</c:v>
                </c:pt>
              </c:numCache>
            </c:numRef>
          </c:val>
        </c:ser>
        <c:ser>
          <c:idx val="1"/>
          <c:order val="1"/>
          <c:tx>
            <c:strRef>
              <c:f>Sayfa1!$Q$20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0"/>
                  <c:y val="-2.325581395348837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2.3255813953488372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2.3255813953488372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2.325581395348837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2.3255813953488372E-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tr-TR"/>
              </a:p>
            </c:txPr>
            <c:showVal val="1"/>
          </c:dLbls>
          <c:cat>
            <c:strRef>
              <c:f>Sayfa1!$O$21:$O$32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Sayfa1!$Q$21:$Q$32</c:f>
              <c:numCache>
                <c:formatCode>0.0</c:formatCode>
                <c:ptCount val="12"/>
                <c:pt idx="0">
                  <c:v>15.591914586</c:v>
                </c:pt>
                <c:pt idx="1">
                  <c:v>15.826054149000004</c:v>
                </c:pt>
                <c:pt idx="2">
                  <c:v>19.01814856</c:v>
                </c:pt>
                <c:pt idx="3">
                  <c:v>17.788018611999984</c:v>
                </c:pt>
                <c:pt idx="4">
                  <c:v>20.923124040999991</c:v>
                </c:pt>
                <c:pt idx="5">
                  <c:v>19.176928069000009</c:v>
                </c:pt>
                <c:pt idx="6">
                  <c:v>21.49005342000001</c:v>
                </c:pt>
                <c:pt idx="7">
                  <c:v>19.160672409000004</c:v>
                </c:pt>
                <c:pt idx="8">
                  <c:v>19.976247843999989</c:v>
                </c:pt>
                <c:pt idx="9">
                  <c:v>21.266628409999992</c:v>
                </c:pt>
              </c:numCache>
            </c:numRef>
          </c:val>
        </c:ser>
        <c:dLbls>
          <c:showVal val="1"/>
        </c:dLbls>
        <c:overlap val="-25"/>
        <c:axId val="106665088"/>
        <c:axId val="106666624"/>
      </c:barChart>
      <c:catAx>
        <c:axId val="106665088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b="1"/>
            </a:pPr>
            <a:endParaRPr lang="tr-TR"/>
          </a:p>
        </c:txPr>
        <c:crossAx val="106666624"/>
        <c:crosses val="autoZero"/>
        <c:auto val="1"/>
        <c:lblAlgn val="ctr"/>
        <c:lblOffset val="100"/>
      </c:catAx>
      <c:valAx>
        <c:axId val="106666624"/>
        <c:scaling>
          <c:orientation val="minMax"/>
        </c:scaling>
        <c:delete val="1"/>
        <c:axPos val="l"/>
        <c:numFmt formatCode="0.0" sourceLinked="1"/>
        <c:tickLblPos val="nextTo"/>
        <c:crossAx val="106665088"/>
        <c:crosses val="autoZero"/>
        <c:crossBetween val="between"/>
      </c:valAx>
      <c:spPr>
        <a:noFill/>
        <a:ln>
          <a:noFill/>
        </a:ln>
      </c:spPr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EAD66-4DA3-4E57-9231-9C04A555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</dc:creator>
  <cp:lastModifiedBy>earic_000</cp:lastModifiedBy>
  <cp:revision>2</cp:revision>
  <dcterms:created xsi:type="dcterms:W3CDTF">2017-12-04T07:42:00Z</dcterms:created>
  <dcterms:modified xsi:type="dcterms:W3CDTF">2017-12-04T07:42:00Z</dcterms:modified>
</cp:coreProperties>
</file>